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43" w:firstLineChars="200"/>
        <w:jc w:val="center"/>
        <w:rPr>
          <w:rFonts w:hint="eastAsia" w:ascii="黑体" w:hAnsi="黑体" w:eastAsia="黑体" w:cs="黑体"/>
          <w:b/>
          <w:sz w:val="32"/>
          <w:szCs w:val="32"/>
        </w:rPr>
      </w:pPr>
      <w:r>
        <w:rPr>
          <w:rFonts w:hint="eastAsia" w:ascii="黑体" w:hAnsi="黑体" w:eastAsia="黑体" w:cs="黑体"/>
          <w:b/>
          <w:kern w:val="2"/>
          <w:sz w:val="32"/>
          <w:szCs w:val="32"/>
        </w:rPr>
        <w:t>泸州市中医医院</w:t>
      </w:r>
      <w:r>
        <w:rPr>
          <w:rFonts w:hint="eastAsia" w:ascii="黑体" w:hAnsi="黑体" w:eastAsia="黑体" w:cs="黑体"/>
          <w:b/>
          <w:kern w:val="2"/>
          <w:sz w:val="32"/>
          <w:szCs w:val="32"/>
          <w:lang w:val="en-US" w:eastAsia="zh-CN"/>
        </w:rPr>
        <w:t>大山坪院区污水处理消毒剂定点供应</w:t>
      </w:r>
      <w:r>
        <w:rPr>
          <w:rFonts w:hint="eastAsia" w:ascii="黑体" w:hAnsi="黑体" w:eastAsia="黑体" w:cs="黑体"/>
          <w:b/>
          <w:kern w:val="2"/>
          <w:sz w:val="32"/>
          <w:szCs w:val="32"/>
        </w:rPr>
        <w:t>采购项目</w:t>
      </w:r>
      <w:r>
        <w:rPr>
          <w:rFonts w:hint="eastAsia" w:ascii="黑体" w:hAnsi="黑体" w:eastAsia="黑体" w:cs="黑体"/>
          <w:b/>
          <w:sz w:val="32"/>
          <w:szCs w:val="32"/>
        </w:rPr>
        <w:t>采购需求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一、采购项目基本情况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1、项目名称：泸州市中医医院大山坪院区污水处理消毒剂定点供应采购项目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2、项目所属分类：□服务 ☑货物 □工程</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3、预算金额：26万元</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4、供货期限：合同签订生效后2年，合同期满或实际结算金额达到合同总额时，合同自动终止。</w:t>
      </w:r>
    </w:p>
    <w:p>
      <w:pPr>
        <w:pStyle w:val="2"/>
        <w:rPr>
          <w:rFonts w:hint="default"/>
          <w:lang w:val="en-US" w:eastAsia="zh-CN"/>
        </w:rPr>
      </w:pPr>
      <w:r>
        <w:rPr>
          <w:rFonts w:hint="eastAsia" w:ascii="仿宋_GB2312" w:hAnsi="仿宋_GB2312" w:eastAsia="仿宋_GB2312" w:cs="仿宋_GB2312"/>
          <w:color w:val="auto"/>
          <w:sz w:val="28"/>
          <w:szCs w:val="28"/>
          <w:lang w:val="en-US" w:eastAsia="zh-CN"/>
        </w:rPr>
        <w:t>5、供货地点：泸州市中医医院大山坪院区采购人指定地点</w:t>
      </w:r>
    </w:p>
    <w:p>
      <w:pPr>
        <w:pStyle w:val="2"/>
        <w:rPr>
          <w:rFonts w:hint="default"/>
          <w:color w:val="auto"/>
          <w:lang w:val="en-US" w:eastAsia="zh-CN"/>
        </w:rPr>
      </w:pPr>
      <w:r>
        <w:rPr>
          <w:rFonts w:hint="eastAsia" w:ascii="仿宋_GB2312" w:hAnsi="仿宋_GB2312" w:eastAsia="仿宋_GB2312" w:cs="仿宋_GB2312"/>
          <w:color w:val="auto"/>
          <w:sz w:val="28"/>
          <w:szCs w:val="28"/>
          <w:lang w:val="en-US" w:eastAsia="zh-CN"/>
        </w:rPr>
        <w:t>6、预计两年采购数量：96吨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7、预计实施采购月份：8月</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8、联系人：后勤保障部 陈文烽 18181174201</w:t>
      </w:r>
    </w:p>
    <w:p>
      <w:pPr>
        <w:pStyle w:val="2"/>
        <w:rPr>
          <w:rFonts w:hint="default" w:ascii="仿宋_GB2312" w:hAnsi="仿宋_GB2312" w:eastAsia="仿宋_GB2312" w:cs="仿宋_GB2312"/>
          <w:kern w:val="2"/>
          <w:sz w:val="28"/>
          <w:szCs w:val="28"/>
          <w:lang w:val="en-US" w:eastAsia="zh-CN" w:bidi="ar-SA"/>
        </w:rPr>
      </w:pPr>
      <w:r>
        <w:rPr>
          <w:rFonts w:hint="default" w:ascii="仿宋_GB2312" w:hAnsi="仿宋_GB2312" w:eastAsia="仿宋_GB2312" w:cs="仿宋_GB2312"/>
          <w:b/>
          <w:bCs/>
          <w:kern w:val="2"/>
          <w:sz w:val="28"/>
          <w:szCs w:val="28"/>
          <w:lang w:val="en-US" w:eastAsia="zh-CN" w:bidi="ar-SA"/>
        </w:rPr>
        <w:t>二、采购项目简介</w:t>
      </w:r>
      <w:r>
        <w:rPr>
          <w:rFonts w:hint="default" w:ascii="仿宋_GB2312" w:hAnsi="仿宋_GB2312" w:eastAsia="仿宋_GB2312" w:cs="仿宋_GB2312"/>
          <w:kern w:val="2"/>
          <w:sz w:val="28"/>
          <w:szCs w:val="28"/>
          <w:lang w:val="en-US" w:eastAsia="zh-CN" w:bidi="ar-SA"/>
        </w:rPr>
        <w:t>：</w:t>
      </w:r>
    </w:p>
    <w:p>
      <w:pPr>
        <w:pStyle w:val="2"/>
        <w:ind w:firstLine="560" w:firstLineChars="200"/>
        <w:rPr>
          <w:rFonts w:hint="default"/>
          <w:lang w:val="en-US" w:eastAsia="zh-CN"/>
        </w:rPr>
      </w:pPr>
      <w:r>
        <w:rPr>
          <w:rFonts w:hint="default" w:ascii="仿宋_GB2312" w:hAnsi="仿宋_GB2312" w:eastAsia="仿宋_GB2312" w:cs="仿宋_GB2312"/>
          <w:kern w:val="2"/>
          <w:sz w:val="28"/>
          <w:szCs w:val="28"/>
          <w:lang w:val="en-US" w:eastAsia="zh-CN" w:bidi="ar-SA"/>
        </w:rPr>
        <w:t>泸州市中医医院拟采购合格供应商一名，完成泸州市中医医院</w:t>
      </w:r>
      <w:r>
        <w:rPr>
          <w:rFonts w:hint="eastAsia" w:ascii="仿宋_GB2312" w:hAnsi="仿宋_GB2312" w:eastAsia="仿宋_GB2312" w:cs="仿宋_GB2312"/>
          <w:kern w:val="2"/>
          <w:sz w:val="28"/>
          <w:szCs w:val="28"/>
          <w:lang w:val="en-US" w:eastAsia="zh-CN" w:bidi="ar-SA"/>
        </w:rPr>
        <w:t>大山坪院区污水处理消毒剂的定点供应</w:t>
      </w:r>
      <w:r>
        <w:rPr>
          <w:rFonts w:hint="default" w:ascii="仿宋_GB2312" w:hAnsi="仿宋_GB2312" w:eastAsia="仿宋_GB2312" w:cs="仿宋_GB2312"/>
          <w:kern w:val="2"/>
          <w:sz w:val="28"/>
          <w:szCs w:val="28"/>
          <w:lang w:val="en-US" w:eastAsia="zh-CN" w:bidi="ar-SA"/>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三、供应商应具备的资格条件</w:t>
      </w:r>
      <w:r>
        <w:rPr>
          <w:rFonts w:hint="eastAsia" w:ascii="仿宋_GB2312" w:hAnsi="仿宋_GB2312" w:eastAsia="仿宋_GB2312" w:cs="仿宋_GB2312"/>
          <w:sz w:val="28"/>
          <w:szCs w:val="28"/>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1、具有独立承担民事责任的能力；</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2、具有良好的商业信誉和健全的财务会计制度；</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3、具有依法缴纳税收和社会保障资金的良好记录；</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4、参加本次采购活动前三年内，在经营活动中没有重大违法记录；</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5、法律、行政法规规定的其他条件；</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6、本项目不接受联合体。</w:t>
      </w:r>
    </w:p>
    <w:p>
      <w:pPr>
        <w:pStyle w:val="2"/>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7、供应商为制造厂商的，须同时具备有效的《危险化学品经营许可证》、《危险化学品生产许可证》；供应商为非制造厂商的，须具备有效的《危险化学品经营许可证》。</w:t>
      </w:r>
      <w:r>
        <w:rPr>
          <w:rFonts w:hint="eastAsia" w:ascii="仿宋_GB2312" w:hAnsi="仿宋_GB2312" w:eastAsia="仿宋_GB2312" w:cs="仿宋_GB2312"/>
          <w:color w:val="auto"/>
          <w:sz w:val="28"/>
          <w:szCs w:val="28"/>
          <w:lang w:val="en-US" w:eastAsia="zh-CN"/>
        </w:rPr>
        <w:t>（许可范围包含次氯酸钠）</w:t>
      </w:r>
    </w:p>
    <w:p>
      <w:pPr>
        <w:pStyle w:val="3"/>
        <w:ind w:left="0" w:leftChars="0" w:firstLine="0" w:firstLineChars="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8、供应商或其委托的运输单位须具有有效的危险化学品运输资质（应包含危险货物运输（8类））</w:t>
      </w:r>
    </w:p>
    <w:p>
      <w:pPr>
        <w:pStyle w:val="2"/>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9、所供产品制造厂商具有卫生主管部门颁发的《消毒产品生产企业卫生许可证》（许可范围包含次氯酸钠）。</w:t>
      </w:r>
    </w:p>
    <w:p>
      <w:pPr>
        <w:pStyle w:val="2"/>
        <w:rPr>
          <w:rFonts w:hint="default"/>
          <w:lang w:val="en-US" w:eastAsia="zh-CN"/>
        </w:rPr>
      </w:pPr>
      <w:r>
        <w:rPr>
          <w:rFonts w:hint="eastAsia" w:ascii="仿宋_GB2312" w:hAnsi="仿宋_GB2312" w:eastAsia="仿宋_GB2312" w:cs="仿宋_GB2312"/>
          <w:color w:val="auto"/>
          <w:sz w:val="28"/>
          <w:szCs w:val="28"/>
          <w:highlight w:val="none"/>
          <w:lang w:val="en-US" w:eastAsia="zh-CN"/>
        </w:rPr>
        <w:t>10、所供产品制造厂商具有</w:t>
      </w:r>
      <w:r>
        <w:rPr>
          <w:rFonts w:hint="default" w:ascii="仿宋_GB2312" w:hAnsi="仿宋_GB2312" w:eastAsia="仿宋_GB2312" w:cs="仿宋_GB2312"/>
          <w:color w:val="auto"/>
          <w:sz w:val="28"/>
          <w:szCs w:val="28"/>
          <w:highlight w:val="none"/>
          <w:lang w:val="en-US" w:eastAsia="zh-CN"/>
        </w:rPr>
        <w:t>《消毒产品卫生安全评价报告备案凭证》。</w:t>
      </w:r>
    </w:p>
    <w:p>
      <w:pPr>
        <w:spacing w:line="460" w:lineRule="exact"/>
        <w:jc w:val="left"/>
        <w:rPr>
          <w:rFonts w:hint="default" w:ascii="仿宋" w:hAnsi="仿宋" w:eastAsia="仿宋" w:cs="仿宋"/>
          <w:b/>
          <w:bCs/>
          <w:sz w:val="28"/>
          <w:szCs w:val="28"/>
          <w:highlight w:val="none"/>
          <w:lang w:val="en-US" w:eastAsia="zh-CN"/>
        </w:rPr>
      </w:pPr>
      <w:r>
        <w:rPr>
          <w:rFonts w:hint="eastAsia" w:ascii="仿宋" w:hAnsi="仿宋" w:eastAsia="仿宋" w:cs="仿宋"/>
          <w:b/>
          <w:bCs/>
          <w:sz w:val="28"/>
          <w:szCs w:val="28"/>
          <w:highlight w:val="none"/>
          <w:lang w:val="en-US" w:eastAsia="zh-CN"/>
        </w:rPr>
        <w:t>四、产品技术要求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1、采购清单及参数要求：</w:t>
      </w:r>
    </w:p>
    <w:tbl>
      <w:tblPr>
        <w:tblStyle w:val="7"/>
        <w:tblW w:w="8133" w:type="dxa"/>
        <w:tblInd w:w="26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16"/>
        <w:gridCol w:w="2117"/>
        <w:gridCol w:w="1390"/>
        <w:gridCol w:w="1395"/>
        <w:gridCol w:w="1311"/>
        <w:gridCol w:w="140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16"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序号</w:t>
            </w:r>
          </w:p>
        </w:tc>
        <w:tc>
          <w:tcPr>
            <w:tcW w:w="211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产品名称</w:t>
            </w:r>
          </w:p>
        </w:tc>
        <w:tc>
          <w:tcPr>
            <w:tcW w:w="4096"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规格</w:t>
            </w:r>
          </w:p>
        </w:tc>
        <w:tc>
          <w:tcPr>
            <w:tcW w:w="1404"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预计两年采购数量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51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1"/>
                <w:szCs w:val="21"/>
                <w:u w:val="none"/>
              </w:rPr>
            </w:pPr>
          </w:p>
        </w:tc>
        <w:tc>
          <w:tcPr>
            <w:tcW w:w="211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1"/>
                <w:szCs w:val="21"/>
                <w:u w:val="none"/>
              </w:rPr>
            </w:pPr>
          </w:p>
        </w:tc>
        <w:tc>
          <w:tcPr>
            <w:tcW w:w="1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型号(mm)</w:t>
            </w:r>
          </w:p>
        </w:tc>
        <w:tc>
          <w:tcPr>
            <w:tcW w:w="13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有效氯含量</w:t>
            </w:r>
          </w:p>
        </w:tc>
        <w:tc>
          <w:tcPr>
            <w:tcW w:w="13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字号</w:t>
            </w:r>
          </w:p>
        </w:tc>
        <w:tc>
          <w:tcPr>
            <w:tcW w:w="1404" w:type="dxa"/>
            <w:vMerge w:val="continue"/>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5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21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污水处理消毒剂</w:t>
            </w:r>
          </w:p>
        </w:tc>
        <w:tc>
          <w:tcPr>
            <w:tcW w:w="1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AⅡ型</w:t>
            </w:r>
          </w:p>
        </w:tc>
        <w:tc>
          <w:tcPr>
            <w:tcW w:w="13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13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【消】字号</w:t>
            </w:r>
          </w:p>
        </w:tc>
        <w:tc>
          <w:tcPr>
            <w:tcW w:w="14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2"/>
                <w:sz w:val="21"/>
                <w:szCs w:val="21"/>
                <w:u w:val="none"/>
                <w:lang w:val="en-US" w:eastAsia="zh-CN" w:bidi="ar-SA"/>
              </w:rPr>
              <w:t>96吨</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2、产品质量要求：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（1）产品必须符合国家强制标准《次氯酸钠》（GB19106-2013）要求；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lang w:val="en-US" w:eastAsia="zh-CN"/>
        </w:rPr>
      </w:pPr>
      <w:r>
        <w:rPr>
          <w:rFonts w:hint="eastAsia" w:ascii="仿宋_GB2312" w:hAnsi="仿宋_GB2312" w:eastAsia="仿宋_GB2312" w:cs="仿宋_GB2312"/>
          <w:color w:val="auto"/>
          <w:sz w:val="28"/>
          <w:szCs w:val="28"/>
          <w:lang w:val="en-US" w:eastAsia="zh-CN"/>
        </w:rPr>
        <w:t>（2）供应商交付给采购人的产品有效期不低于60天。</w:t>
      </w:r>
      <w:r>
        <w:rPr>
          <w:rFonts w:hint="eastAsia" w:ascii="仿宋_GB2312" w:hAnsi="仿宋_GB2312" w:eastAsia="仿宋_GB2312" w:cs="仿宋_GB2312"/>
          <w:sz w:val="28"/>
          <w:szCs w:val="28"/>
          <w:lang w:val="en-US" w:eastAsia="zh-CN"/>
        </w:rPr>
        <w:t>每次供货时，需提供所有产品合格证（标明品牌、生产厂家、生产地址、</w:t>
      </w:r>
      <w:r>
        <w:rPr>
          <w:rFonts w:hint="eastAsia" w:ascii="仿宋_GB2312" w:hAnsi="仿宋_GB2312" w:eastAsia="仿宋_GB2312" w:cs="仿宋_GB2312"/>
          <w:color w:val="auto"/>
          <w:sz w:val="28"/>
          <w:szCs w:val="28"/>
          <w:lang w:val="en-US" w:eastAsia="zh-CN"/>
        </w:rPr>
        <w:t>产品有效期等相关信息）</w:t>
      </w:r>
      <w:r>
        <w:rPr>
          <w:rFonts w:hint="eastAsia" w:ascii="仿宋_GB2312" w:hAnsi="仿宋_GB2312" w:eastAsia="仿宋_GB2312" w:cs="仿宋_GB2312"/>
          <w:sz w:val="28"/>
          <w:szCs w:val="28"/>
          <w:lang w:val="en-US" w:eastAsia="zh-CN"/>
        </w:rPr>
        <w:t>。同时</w:t>
      </w:r>
      <w:r>
        <w:rPr>
          <w:rFonts w:hint="eastAsia" w:ascii="仿宋_GB2312" w:hAnsi="仿宋_GB2312" w:eastAsia="仿宋_GB2312" w:cs="仿宋_GB2312"/>
          <w:color w:val="auto"/>
          <w:sz w:val="28"/>
          <w:szCs w:val="28"/>
          <w:lang w:val="en-US" w:eastAsia="zh-CN"/>
        </w:rPr>
        <w:t>提供当批次产品自检报告。</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3、服务要求：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（1）接到采购人通知后，一般情况下须在3天内送货到采购人指定地点并装卸灌装至采购人指定库房储存桶内，紧急情况下须在4小时内送达。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（2）供应商自行承担产品生产、灌装、运输过程中的所有风险及人员安全问题。</w:t>
      </w:r>
    </w:p>
    <w:p>
      <w:pPr>
        <w:keepNext w:val="0"/>
        <w:keepLines w:val="0"/>
        <w:pageBreakBefore w:val="0"/>
        <w:kinsoku/>
        <w:wordWrap/>
        <w:overflowPunct/>
        <w:topLinePunct w:val="0"/>
        <w:autoSpaceDE/>
        <w:autoSpaceDN/>
        <w:bidi w:val="0"/>
        <w:adjustRightInd/>
        <w:snapToGrid/>
        <w:spacing w:line="400" w:lineRule="exact"/>
        <w:rPr>
          <w:rFonts w:hint="eastAsia" w:ascii="仿宋" w:hAnsi="仿宋" w:eastAsia="仿宋" w:cs="仿宋"/>
          <w:b/>
          <w:bCs/>
          <w:sz w:val="28"/>
          <w:szCs w:val="28"/>
          <w:highlight w:val="none"/>
          <w:lang w:val="en-US" w:eastAsia="zh-CN"/>
        </w:rPr>
      </w:pPr>
      <w:r>
        <w:rPr>
          <w:rFonts w:hint="eastAsia" w:ascii="仿宋" w:hAnsi="仿宋" w:eastAsia="仿宋" w:cs="仿宋"/>
          <w:b/>
          <w:bCs/>
          <w:sz w:val="28"/>
          <w:szCs w:val="28"/>
          <w:highlight w:val="none"/>
          <w:lang w:val="en-US" w:eastAsia="zh-CN"/>
        </w:rPr>
        <w:t>五：结算方式</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560" w:firstLineChars="200"/>
        <w:jc w:val="left"/>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每月按照采购人后勤保障部污水处理站需求计划送货，每季度按实结算。实际结算金额=成交单价×实际收货数量。</w:t>
      </w:r>
    </w:p>
    <w:p>
      <w:pPr>
        <w:pStyle w:val="2"/>
        <w:numPr>
          <w:numId w:val="0"/>
        </w:numPr>
        <w:rPr>
          <w:rFonts w:hint="eastAsia" w:ascii="仿宋_GB2312" w:hAnsi="仿宋_GB2312" w:eastAsia="仿宋_GB2312" w:cs="仿宋_GB2312"/>
          <w:b/>
          <w:bCs/>
          <w:kern w:val="2"/>
          <w:sz w:val="28"/>
          <w:szCs w:val="28"/>
          <w:lang w:val="en-US" w:eastAsia="zh-CN" w:bidi="ar-SA"/>
        </w:rPr>
      </w:pPr>
      <w:r>
        <w:rPr>
          <w:rFonts w:hint="eastAsia" w:ascii="仿宋_GB2312" w:hAnsi="仿宋_GB2312" w:eastAsia="仿宋_GB2312" w:cs="仿宋_GB2312"/>
          <w:b/>
          <w:bCs/>
          <w:kern w:val="2"/>
          <w:sz w:val="28"/>
          <w:szCs w:val="28"/>
          <w:lang w:val="en-US" w:eastAsia="zh-CN" w:bidi="ar-SA"/>
        </w:rPr>
        <w:t>六、市场调研报价表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560" w:firstLineChars="200"/>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泸州市中医医院大山坪院区污水处理消毒剂采购项目</w:t>
      </w:r>
    </w:p>
    <w:p>
      <w:pPr>
        <w:pStyle w:val="2"/>
        <w:jc w:val="center"/>
        <w:rPr>
          <w:rFonts w:hint="eastAsia"/>
          <w:lang w:val="en-US" w:eastAsia="zh-CN"/>
        </w:rPr>
      </w:pPr>
      <w:r>
        <w:rPr>
          <w:rFonts w:hint="eastAsia" w:ascii="仿宋_GB2312" w:hAnsi="仿宋_GB2312" w:eastAsia="仿宋_GB2312" w:cs="仿宋_GB2312"/>
          <w:sz w:val="28"/>
          <w:szCs w:val="28"/>
          <w:lang w:val="en-US" w:eastAsia="zh-CN"/>
        </w:rPr>
        <w:t>市场调研报价表</w:t>
      </w:r>
      <w:bookmarkStart w:id="0" w:name="_GoBack"/>
      <w:bookmarkEnd w:id="0"/>
    </w:p>
    <w:tbl>
      <w:tblPr>
        <w:tblStyle w:val="7"/>
        <w:tblW w:w="523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5"/>
        <w:gridCol w:w="2128"/>
        <w:gridCol w:w="1262"/>
        <w:gridCol w:w="1125"/>
        <w:gridCol w:w="993"/>
        <w:gridCol w:w="20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793" w:type="pct"/>
            <w:noWrap w:val="0"/>
            <w:vAlign w:val="center"/>
          </w:tcPr>
          <w:p>
            <w:pPr>
              <w:jc w:val="center"/>
              <w:rPr>
                <w:rFonts w:hint="eastAsia" w:ascii="仿宋" w:hAnsi="仿宋" w:eastAsia="仿宋" w:cs="仿宋"/>
                <w:b w:val="0"/>
                <w:bCs w:val="0"/>
                <w:color w:val="auto"/>
                <w:sz w:val="21"/>
                <w:szCs w:val="21"/>
                <w:highlight w:val="none"/>
                <w:lang w:eastAsia="zh-CN"/>
              </w:rPr>
            </w:pPr>
            <w:r>
              <w:rPr>
                <w:rFonts w:hint="eastAsia" w:ascii="仿宋" w:hAnsi="仿宋" w:eastAsia="仿宋" w:cs="仿宋"/>
                <w:b w:val="0"/>
                <w:bCs w:val="0"/>
                <w:color w:val="auto"/>
                <w:sz w:val="21"/>
                <w:szCs w:val="21"/>
                <w:highlight w:val="none"/>
              </w:rPr>
              <w:t>产品</w:t>
            </w:r>
            <w:r>
              <w:rPr>
                <w:rFonts w:hint="eastAsia" w:ascii="仿宋" w:hAnsi="仿宋" w:eastAsia="仿宋" w:cs="仿宋"/>
                <w:b w:val="0"/>
                <w:bCs w:val="0"/>
                <w:color w:val="auto"/>
                <w:sz w:val="21"/>
                <w:szCs w:val="21"/>
                <w:highlight w:val="none"/>
                <w:lang w:eastAsia="zh-CN"/>
              </w:rPr>
              <w:t>名称</w:t>
            </w:r>
          </w:p>
        </w:tc>
        <w:tc>
          <w:tcPr>
            <w:tcW w:w="1192" w:type="pct"/>
            <w:noWrap w:val="0"/>
            <w:vAlign w:val="center"/>
          </w:tcPr>
          <w:p>
            <w:pPr>
              <w:jc w:val="center"/>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规格/型号</w:t>
            </w:r>
          </w:p>
        </w:tc>
        <w:tc>
          <w:tcPr>
            <w:tcW w:w="707" w:type="pct"/>
            <w:noWrap w:val="0"/>
            <w:vAlign w:val="center"/>
          </w:tcPr>
          <w:p>
            <w:pPr>
              <w:jc w:val="center"/>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预计两年采购数量</w:t>
            </w:r>
          </w:p>
        </w:tc>
        <w:tc>
          <w:tcPr>
            <w:tcW w:w="630" w:type="pct"/>
            <w:noWrap w:val="0"/>
            <w:vAlign w:val="center"/>
          </w:tcPr>
          <w:p>
            <w:pPr>
              <w:jc w:val="center"/>
              <w:rPr>
                <w:rFonts w:hint="eastAsia" w:ascii="仿宋" w:hAnsi="仿宋" w:eastAsia="仿宋" w:cs="仿宋"/>
                <w:b w:val="0"/>
                <w:bCs w:val="0"/>
                <w:color w:val="auto"/>
                <w:sz w:val="21"/>
                <w:szCs w:val="21"/>
                <w:highlight w:val="none"/>
                <w:lang w:eastAsia="zh-CN"/>
              </w:rPr>
            </w:pPr>
            <w:r>
              <w:rPr>
                <w:rFonts w:hint="eastAsia" w:ascii="仿宋" w:hAnsi="仿宋" w:eastAsia="仿宋" w:cs="仿宋"/>
                <w:b w:val="0"/>
                <w:bCs w:val="0"/>
                <w:color w:val="auto"/>
                <w:sz w:val="21"/>
                <w:szCs w:val="21"/>
                <w:highlight w:val="none"/>
                <w:lang w:eastAsia="zh-CN"/>
              </w:rPr>
              <w:t>单价</w:t>
            </w:r>
          </w:p>
          <w:p>
            <w:pPr>
              <w:jc w:val="center"/>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rPr>
              <w:t>（元</w:t>
            </w:r>
            <w:r>
              <w:rPr>
                <w:rFonts w:hint="eastAsia" w:ascii="仿宋" w:hAnsi="仿宋" w:eastAsia="仿宋" w:cs="仿宋"/>
                <w:b w:val="0"/>
                <w:bCs w:val="0"/>
                <w:color w:val="auto"/>
                <w:sz w:val="21"/>
                <w:szCs w:val="21"/>
                <w:highlight w:val="none"/>
                <w:lang w:val="en-US" w:eastAsia="zh-CN"/>
              </w:rPr>
              <w:t>/吨</w:t>
            </w:r>
            <w:r>
              <w:rPr>
                <w:rFonts w:hint="eastAsia" w:ascii="仿宋" w:hAnsi="仿宋" w:eastAsia="仿宋" w:cs="仿宋"/>
                <w:b w:val="0"/>
                <w:bCs w:val="0"/>
                <w:color w:val="auto"/>
                <w:sz w:val="21"/>
                <w:szCs w:val="21"/>
                <w:highlight w:val="none"/>
              </w:rPr>
              <w:t>）</w:t>
            </w:r>
          </w:p>
        </w:tc>
        <w:tc>
          <w:tcPr>
            <w:tcW w:w="556" w:type="pct"/>
            <w:noWrap w:val="0"/>
            <w:vAlign w:val="center"/>
          </w:tcPr>
          <w:p>
            <w:pPr>
              <w:jc w:val="center"/>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总价（元）</w:t>
            </w:r>
          </w:p>
        </w:tc>
        <w:tc>
          <w:tcPr>
            <w:tcW w:w="1119" w:type="pct"/>
            <w:noWrap w:val="0"/>
            <w:vAlign w:val="center"/>
          </w:tcPr>
          <w:p>
            <w:pPr>
              <w:jc w:val="center"/>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品牌或生产厂家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3" w:hRule="atLeast"/>
        </w:trPr>
        <w:tc>
          <w:tcPr>
            <w:tcW w:w="793" w:type="pct"/>
            <w:noWrap w:val="0"/>
            <w:vAlign w:val="center"/>
          </w:tcPr>
          <w:p>
            <w:pPr>
              <w:jc w:val="center"/>
              <w:rPr>
                <w:rFonts w:hint="eastAsia" w:ascii="仿宋" w:hAnsi="仿宋" w:eastAsia="仿宋" w:cs="仿宋"/>
                <w:b w:val="0"/>
                <w:bCs w:val="0"/>
                <w:color w:val="auto"/>
                <w:sz w:val="21"/>
                <w:szCs w:val="21"/>
                <w:highlight w:val="none"/>
              </w:rPr>
            </w:pPr>
            <w:r>
              <w:rPr>
                <w:rFonts w:hint="eastAsia" w:ascii="仿宋" w:hAnsi="仿宋" w:eastAsia="仿宋" w:cs="仿宋"/>
                <w:b w:val="0"/>
                <w:bCs w:val="0"/>
                <w:color w:val="auto"/>
                <w:sz w:val="21"/>
                <w:szCs w:val="21"/>
                <w:highlight w:val="none"/>
              </w:rPr>
              <w:t>污水处理</w:t>
            </w:r>
          </w:p>
          <w:p>
            <w:pPr>
              <w:jc w:val="center"/>
              <w:rPr>
                <w:rFonts w:hint="eastAsia" w:ascii="仿宋" w:hAnsi="仿宋" w:eastAsia="仿宋" w:cs="仿宋"/>
                <w:b w:val="0"/>
                <w:bCs w:val="0"/>
                <w:color w:val="auto"/>
                <w:sz w:val="21"/>
                <w:szCs w:val="21"/>
                <w:highlight w:val="none"/>
              </w:rPr>
            </w:pPr>
            <w:r>
              <w:rPr>
                <w:rFonts w:hint="eastAsia" w:ascii="仿宋" w:hAnsi="仿宋" w:eastAsia="仿宋" w:cs="仿宋"/>
                <w:b w:val="0"/>
                <w:bCs w:val="0"/>
                <w:color w:val="auto"/>
                <w:sz w:val="21"/>
                <w:szCs w:val="21"/>
                <w:highlight w:val="none"/>
              </w:rPr>
              <w:t>消毒剂</w:t>
            </w:r>
          </w:p>
        </w:tc>
        <w:tc>
          <w:tcPr>
            <w:tcW w:w="1192" w:type="pct"/>
            <w:noWrap w:val="0"/>
            <w:vAlign w:val="center"/>
          </w:tcPr>
          <w:p>
            <w:pPr>
              <w:jc w:val="center"/>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【消】字号、AⅡ型</w:t>
            </w:r>
          </w:p>
          <w:p>
            <w:pPr>
              <w:jc w:val="center"/>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有效氯含量≥10%</w:t>
            </w:r>
          </w:p>
        </w:tc>
        <w:tc>
          <w:tcPr>
            <w:tcW w:w="707" w:type="pct"/>
            <w:noWrap w:val="0"/>
            <w:vAlign w:val="center"/>
          </w:tcPr>
          <w:p>
            <w:pPr>
              <w:jc w:val="center"/>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96吨</w:t>
            </w:r>
          </w:p>
        </w:tc>
        <w:tc>
          <w:tcPr>
            <w:tcW w:w="630" w:type="pct"/>
            <w:noWrap w:val="0"/>
            <w:vAlign w:val="center"/>
          </w:tcPr>
          <w:p>
            <w:pPr>
              <w:jc w:val="center"/>
              <w:rPr>
                <w:rFonts w:hint="eastAsia" w:ascii="仿宋" w:hAnsi="仿宋" w:eastAsia="仿宋" w:cs="仿宋"/>
                <w:b w:val="0"/>
                <w:bCs w:val="0"/>
                <w:color w:val="auto"/>
                <w:sz w:val="21"/>
                <w:szCs w:val="21"/>
                <w:highlight w:val="none"/>
              </w:rPr>
            </w:pPr>
          </w:p>
        </w:tc>
        <w:tc>
          <w:tcPr>
            <w:tcW w:w="556" w:type="pct"/>
            <w:noWrap w:val="0"/>
            <w:vAlign w:val="center"/>
          </w:tcPr>
          <w:p>
            <w:pPr>
              <w:jc w:val="center"/>
              <w:rPr>
                <w:rFonts w:hint="eastAsia" w:ascii="仿宋" w:hAnsi="仿宋" w:eastAsia="仿宋" w:cs="仿宋"/>
                <w:b w:val="0"/>
                <w:bCs w:val="0"/>
                <w:color w:val="auto"/>
                <w:sz w:val="21"/>
                <w:szCs w:val="21"/>
                <w:highlight w:val="none"/>
              </w:rPr>
            </w:pPr>
          </w:p>
        </w:tc>
        <w:tc>
          <w:tcPr>
            <w:tcW w:w="1119" w:type="pct"/>
            <w:noWrap w:val="0"/>
            <w:vAlign w:val="center"/>
          </w:tcPr>
          <w:p>
            <w:pPr>
              <w:jc w:val="center"/>
              <w:rPr>
                <w:rFonts w:hint="eastAsia" w:ascii="仿宋" w:hAnsi="仿宋" w:eastAsia="仿宋" w:cs="仿宋"/>
                <w:b w:val="0"/>
                <w:bCs w:val="0"/>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5000" w:type="pct"/>
            <w:gridSpan w:val="6"/>
            <w:noWrap w:val="0"/>
            <w:vAlign w:val="center"/>
          </w:tcPr>
          <w:p>
            <w:pPr>
              <w:jc w:val="center"/>
              <w:rPr>
                <w:rFonts w:hint="eastAsia" w:ascii="仿宋" w:hAnsi="仿宋" w:eastAsia="仿宋" w:cs="仿宋"/>
                <w:b w:val="0"/>
                <w:bCs w:val="0"/>
                <w:color w:val="auto"/>
                <w:sz w:val="21"/>
                <w:szCs w:val="21"/>
                <w:lang w:eastAsia="zh-CN"/>
              </w:rPr>
            </w:pPr>
            <w:r>
              <w:rPr>
                <w:rFonts w:hint="eastAsia" w:ascii="仿宋" w:hAnsi="仿宋" w:eastAsia="仿宋" w:cs="仿宋"/>
                <w:b w:val="0"/>
                <w:bCs w:val="0"/>
                <w:color w:val="auto"/>
                <w:sz w:val="21"/>
                <w:szCs w:val="21"/>
                <w:lang w:eastAsia="zh-CN"/>
              </w:rPr>
              <w:t>合计：</w:t>
            </w:r>
            <w:r>
              <w:rPr>
                <w:rFonts w:hint="eastAsia" w:ascii="仿宋" w:hAnsi="仿宋" w:eastAsia="仿宋" w:cs="仿宋"/>
                <w:b w:val="0"/>
                <w:bCs w:val="0"/>
                <w:color w:val="auto"/>
                <w:sz w:val="21"/>
                <w:szCs w:val="21"/>
                <w:lang w:val="en-US" w:eastAsia="zh-CN"/>
              </w:rPr>
              <w:t xml:space="preserve">     （大写）</w:t>
            </w:r>
          </w:p>
        </w:tc>
      </w:tr>
    </w:tbl>
    <w:p>
      <w:pPr>
        <w:keepNext w:val="0"/>
        <w:keepLines w:val="0"/>
        <w:pageBreakBefore w:val="0"/>
        <w:kinsoku/>
        <w:wordWrap/>
        <w:overflowPunct/>
        <w:topLinePunct w:val="0"/>
        <w:autoSpaceDE/>
        <w:autoSpaceDN/>
        <w:bidi w:val="0"/>
        <w:adjustRightInd/>
        <w:snapToGrid/>
        <w:spacing w:line="400" w:lineRule="exac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注：供应商的报价是供应商响应比选项目要求的全部工作内容的价格体现，包括本项目产品生产、运输费、人工费、风险、管理、保险、税费等供应商完成本项目所需的一切费用。</w:t>
      </w:r>
    </w:p>
    <w:p>
      <w:pPr>
        <w:pStyle w:val="3"/>
        <w:widowControl w:val="0"/>
        <w:numPr>
          <w:numId w:val="0"/>
        </w:numPr>
        <w:spacing w:after="120" w:line="360" w:lineRule="auto"/>
        <w:jc w:val="both"/>
        <w:rPr>
          <w:rFonts w:hint="eastAsia"/>
          <w:sz w:val="24"/>
          <w:szCs w:val="24"/>
          <w:lang w:val="en-US" w:eastAsia="zh-CN"/>
        </w:rPr>
      </w:pPr>
    </w:p>
    <w:p>
      <w:pPr>
        <w:pStyle w:val="4"/>
        <w:spacing w:line="240" w:lineRule="auto"/>
        <w:rPr>
          <w:rFonts w:hint="eastAsia" w:ascii="仿宋_GB2312" w:hAnsi="仿宋_GB2312" w:eastAsia="仿宋_GB2312" w:cs="仿宋_GB2312"/>
          <w:spacing w:val="0"/>
          <w:kern w:val="2"/>
          <w:sz w:val="24"/>
          <w:szCs w:val="24"/>
          <w:lang w:val="en-US" w:eastAsia="zh-CN" w:bidi="ar-SA"/>
        </w:rPr>
      </w:pPr>
      <w:r>
        <w:rPr>
          <w:rFonts w:hint="eastAsia" w:ascii="仿宋_GB2312" w:hAnsi="仿宋_GB2312" w:eastAsia="仿宋_GB2312" w:cs="仿宋_GB2312"/>
          <w:spacing w:val="0"/>
          <w:kern w:val="2"/>
          <w:sz w:val="24"/>
          <w:szCs w:val="24"/>
          <w:lang w:val="en-US" w:eastAsia="zh-CN" w:bidi="ar-SA"/>
        </w:rPr>
        <w:t>供应商名称（盖单位章）：</w:t>
      </w:r>
    </w:p>
    <w:p>
      <w:pPr>
        <w:pStyle w:val="4"/>
        <w:spacing w:line="240" w:lineRule="auto"/>
        <w:rPr>
          <w:rFonts w:hint="eastAsia" w:ascii="仿宋_GB2312" w:hAnsi="仿宋_GB2312" w:eastAsia="仿宋_GB2312" w:cs="仿宋_GB2312"/>
          <w:spacing w:val="0"/>
          <w:kern w:val="2"/>
          <w:sz w:val="24"/>
          <w:szCs w:val="24"/>
          <w:lang w:val="en-US" w:eastAsia="zh-CN" w:bidi="ar-SA"/>
        </w:rPr>
      </w:pPr>
      <w:r>
        <w:rPr>
          <w:rFonts w:hint="eastAsia" w:ascii="仿宋_GB2312" w:hAnsi="仿宋_GB2312" w:eastAsia="仿宋_GB2312" w:cs="仿宋_GB2312"/>
          <w:spacing w:val="0"/>
          <w:kern w:val="2"/>
          <w:sz w:val="24"/>
          <w:szCs w:val="24"/>
          <w:lang w:val="en-US" w:eastAsia="zh-CN" w:bidi="ar-SA"/>
        </w:rPr>
        <w:t>联系人及电话：</w:t>
      </w:r>
    </w:p>
    <w:p>
      <w:pPr>
        <w:keepNext w:val="0"/>
        <w:keepLines w:val="0"/>
        <w:pageBreakBefore w:val="0"/>
        <w:kinsoku/>
        <w:wordWrap/>
        <w:overflowPunct/>
        <w:topLinePunct w:val="0"/>
        <w:autoSpaceDE/>
        <w:autoSpaceDN/>
        <w:bidi w:val="0"/>
        <w:adjustRightInd/>
        <w:snapToGrid/>
        <w:spacing w:line="240" w:lineRule="auto"/>
        <w:ind w:firstLine="480" w:firstLineChars="200"/>
        <w:rPr>
          <w:rFonts w:hint="eastAsia" w:ascii="仿宋_GB2312" w:hAnsi="仿宋_GB2312" w:eastAsia="仿宋_GB2312" w:cs="仿宋_GB2312"/>
          <w:spacing w:val="0"/>
          <w:kern w:val="2"/>
          <w:sz w:val="24"/>
          <w:szCs w:val="24"/>
          <w:lang w:val="en-US" w:eastAsia="zh-CN" w:bidi="ar-SA"/>
        </w:rPr>
      </w:pPr>
      <w:r>
        <w:rPr>
          <w:rFonts w:hint="eastAsia" w:ascii="仿宋_GB2312" w:hAnsi="仿宋_GB2312" w:eastAsia="仿宋_GB2312" w:cs="仿宋_GB2312"/>
          <w:spacing w:val="0"/>
          <w:kern w:val="2"/>
          <w:sz w:val="24"/>
          <w:szCs w:val="24"/>
          <w:lang w:val="en-US" w:eastAsia="zh-CN" w:bidi="ar-SA"/>
        </w:rPr>
        <w:t>日期</w:t>
      </w:r>
    </w:p>
    <w:p>
      <w:pPr>
        <w:pStyle w:val="3"/>
        <w:rPr>
          <w:rFonts w:hint="default"/>
          <w:lang w:val="en-US" w:eastAsia="zh-CN"/>
        </w:rPr>
      </w:pPr>
    </w:p>
    <w:p>
      <w:pPr>
        <w:pStyle w:val="16"/>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iMDc1ZmI3NjNjNWQ2N2EzMDNkYjQ3NjkzNTU2NTQifQ=="/>
  </w:docVars>
  <w:rsids>
    <w:rsidRoot w:val="00C04AB9"/>
    <w:rsid w:val="00773474"/>
    <w:rsid w:val="00C04AB9"/>
    <w:rsid w:val="01F114A6"/>
    <w:rsid w:val="02443CCC"/>
    <w:rsid w:val="04E26AD1"/>
    <w:rsid w:val="05030A96"/>
    <w:rsid w:val="06907C59"/>
    <w:rsid w:val="072621AF"/>
    <w:rsid w:val="08E4728B"/>
    <w:rsid w:val="0A0B1D14"/>
    <w:rsid w:val="0A1A331C"/>
    <w:rsid w:val="0D293AB9"/>
    <w:rsid w:val="0F3B6424"/>
    <w:rsid w:val="10844227"/>
    <w:rsid w:val="10AB4F93"/>
    <w:rsid w:val="11363FD6"/>
    <w:rsid w:val="11954F74"/>
    <w:rsid w:val="15755FA6"/>
    <w:rsid w:val="194C6DC7"/>
    <w:rsid w:val="1A9E72B8"/>
    <w:rsid w:val="1C915238"/>
    <w:rsid w:val="209A7359"/>
    <w:rsid w:val="2133567F"/>
    <w:rsid w:val="27467499"/>
    <w:rsid w:val="2950526B"/>
    <w:rsid w:val="2CCB70AE"/>
    <w:rsid w:val="2CE675AA"/>
    <w:rsid w:val="2CEB09E3"/>
    <w:rsid w:val="2D7F102E"/>
    <w:rsid w:val="2E91550E"/>
    <w:rsid w:val="31E21BA9"/>
    <w:rsid w:val="33BD6F64"/>
    <w:rsid w:val="3465729A"/>
    <w:rsid w:val="34847DD4"/>
    <w:rsid w:val="34FE1914"/>
    <w:rsid w:val="356E262C"/>
    <w:rsid w:val="3925443F"/>
    <w:rsid w:val="394E6C03"/>
    <w:rsid w:val="3A637D33"/>
    <w:rsid w:val="3CA60B04"/>
    <w:rsid w:val="3D1A3D9E"/>
    <w:rsid w:val="42B94D60"/>
    <w:rsid w:val="4365651D"/>
    <w:rsid w:val="438A1AF7"/>
    <w:rsid w:val="45A100BA"/>
    <w:rsid w:val="48DA7D0B"/>
    <w:rsid w:val="4CD82F69"/>
    <w:rsid w:val="51FF27FD"/>
    <w:rsid w:val="52734B8D"/>
    <w:rsid w:val="529F39CA"/>
    <w:rsid w:val="5BF639CD"/>
    <w:rsid w:val="610D2213"/>
    <w:rsid w:val="62E51621"/>
    <w:rsid w:val="634F0D72"/>
    <w:rsid w:val="64841482"/>
    <w:rsid w:val="65586590"/>
    <w:rsid w:val="655B1BDC"/>
    <w:rsid w:val="668367C7"/>
    <w:rsid w:val="688B1C38"/>
    <w:rsid w:val="6B4D0B52"/>
    <w:rsid w:val="6C3669A7"/>
    <w:rsid w:val="6F152DFC"/>
    <w:rsid w:val="6F1A6393"/>
    <w:rsid w:val="7018402A"/>
    <w:rsid w:val="70462F7A"/>
    <w:rsid w:val="7508321E"/>
    <w:rsid w:val="77CE4490"/>
    <w:rsid w:val="78092A6B"/>
    <w:rsid w:val="784602A2"/>
    <w:rsid w:val="784A2258"/>
    <w:rsid w:val="7C9B487E"/>
    <w:rsid w:val="7E6F4ECF"/>
    <w:rsid w:val="7F1D01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宋体"/>
      <w:kern w:val="2"/>
      <w:sz w:val="21"/>
      <w:szCs w:val="22"/>
      <w:lang w:val="en-US" w:eastAsia="zh-CN" w:bidi="ar-SA"/>
    </w:rPr>
  </w:style>
  <w:style w:type="paragraph" w:styleId="5">
    <w:name w:val="heading 4"/>
    <w:basedOn w:val="1"/>
    <w:next w:val="1"/>
    <w:qFormat/>
    <w:uiPriority w:val="0"/>
    <w:pPr>
      <w:keepNext/>
      <w:keepLines/>
      <w:adjustRightInd w:val="0"/>
      <w:spacing w:before="280" w:after="290" w:line="376" w:lineRule="atLeast"/>
      <w:outlineLvl w:val="3"/>
    </w:pPr>
    <w:rPr>
      <w:rFonts w:ascii="Arial" w:hAnsi="Arial" w:eastAsia="黑体" w:cs="Arial"/>
      <w:b/>
      <w:bCs/>
      <w:kern w:val="0"/>
      <w:sz w:val="28"/>
      <w:szCs w:val="28"/>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Body Text First Indent"/>
    <w:basedOn w:val="2"/>
    <w:next w:val="4"/>
    <w:autoRedefine/>
    <w:qFormat/>
    <w:uiPriority w:val="0"/>
    <w:pPr>
      <w:spacing w:line="360" w:lineRule="auto"/>
      <w:ind w:left="30" w:leftChars="30" w:firstLine="420" w:firstLineChars="100"/>
    </w:pPr>
    <w:rPr>
      <w:rFonts w:ascii="宋体" w:hAnsi="宋体"/>
      <w:kern w:val="0"/>
      <w:sz w:val="24"/>
      <w:szCs w:val="18"/>
    </w:rPr>
  </w:style>
  <w:style w:type="paragraph" w:customStyle="1" w:styleId="4">
    <w:name w:val="段落正文"/>
    <w:basedOn w:val="1"/>
    <w:qFormat/>
    <w:uiPriority w:val="0"/>
    <w:pPr>
      <w:spacing w:beforeLines="50" w:line="360" w:lineRule="auto"/>
      <w:ind w:firstLine="200" w:firstLineChars="200"/>
    </w:pPr>
    <w:rPr>
      <w:rFonts w:ascii="Times New Roman"/>
      <w:spacing w:val="2"/>
      <w:sz w:val="24"/>
    </w:rPr>
  </w:style>
  <w:style w:type="paragraph" w:styleId="6">
    <w:name w:val="Normal Indent"/>
    <w:basedOn w:val="1"/>
    <w:next w:val="1"/>
    <w:qFormat/>
    <w:uiPriority w:val="0"/>
    <w:pPr>
      <w:ind w:firstLine="420" w:firstLineChars="200"/>
    </w:pPr>
    <w:rPr>
      <w:rFonts w:cs="Calibri"/>
      <w:sz w:val="24"/>
      <w:szCs w:val="24"/>
    </w:rPr>
  </w:style>
  <w:style w:type="table" w:styleId="8">
    <w:name w:val="Table Grid"/>
    <w:basedOn w:val="7"/>
    <w:autoRedefine/>
    <w:semiHidden/>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FollowedHyperlink"/>
    <w:basedOn w:val="9"/>
    <w:qFormat/>
    <w:uiPriority w:val="0"/>
    <w:rPr>
      <w:color w:val="296FBE"/>
      <w:u w:val="none"/>
    </w:rPr>
  </w:style>
  <w:style w:type="character" w:styleId="11">
    <w:name w:val="HTML Definition"/>
    <w:basedOn w:val="9"/>
    <w:autoRedefine/>
    <w:qFormat/>
    <w:uiPriority w:val="0"/>
  </w:style>
  <w:style w:type="character" w:styleId="12">
    <w:name w:val="HTML Variable"/>
    <w:basedOn w:val="9"/>
    <w:qFormat/>
    <w:uiPriority w:val="0"/>
  </w:style>
  <w:style w:type="character" w:styleId="13">
    <w:name w:val="Hyperlink"/>
    <w:basedOn w:val="9"/>
    <w:autoRedefine/>
    <w:qFormat/>
    <w:uiPriority w:val="0"/>
    <w:rPr>
      <w:color w:val="296FBE"/>
      <w:u w:val="none"/>
      <w:shd w:val="clear" w:fill="666666"/>
    </w:rPr>
  </w:style>
  <w:style w:type="character" w:styleId="14">
    <w:name w:val="HTML Code"/>
    <w:basedOn w:val="9"/>
    <w:qFormat/>
    <w:uiPriority w:val="0"/>
    <w:rPr>
      <w:rFonts w:ascii="微软雅黑" w:hAnsi="微软雅黑" w:eastAsia="微软雅黑" w:cs="微软雅黑"/>
      <w:sz w:val="20"/>
    </w:rPr>
  </w:style>
  <w:style w:type="character" w:styleId="15">
    <w:name w:val="HTML Cite"/>
    <w:basedOn w:val="9"/>
    <w:autoRedefine/>
    <w:qFormat/>
    <w:uiPriority w:val="0"/>
  </w:style>
  <w:style w:type="paragraph" w:styleId="16">
    <w:name w:val="Quote"/>
    <w:basedOn w:val="1"/>
    <w:next w:val="1"/>
    <w:qFormat/>
    <w:uiPriority w:val="0"/>
    <w:pPr>
      <w:wordWrap w:val="0"/>
      <w:spacing w:before="200" w:after="160"/>
      <w:ind w:left="864" w:right="864"/>
      <w:jc w:val="center"/>
    </w:pPr>
    <w:rPr>
      <w:rFonts w:ascii="Times New Roman"/>
      <w:i/>
      <w:sz w:val="21"/>
    </w:rPr>
  </w:style>
  <w:style w:type="character" w:customStyle="1" w:styleId="17">
    <w:name w:val="font31"/>
    <w:basedOn w:val="9"/>
    <w:autoRedefine/>
    <w:qFormat/>
    <w:uiPriority w:val="0"/>
    <w:rPr>
      <w:rFonts w:hint="default" w:ascii="Times New Roman" w:hAnsi="Times New Roman" w:cs="Times New Roman"/>
      <w:color w:val="000000"/>
      <w:sz w:val="22"/>
      <w:szCs w:val="22"/>
      <w:u w:val="none"/>
    </w:rPr>
  </w:style>
  <w:style w:type="character" w:customStyle="1" w:styleId="18">
    <w:name w:val="font11"/>
    <w:basedOn w:val="9"/>
    <w:autoRedefine/>
    <w:qFormat/>
    <w:uiPriority w:val="0"/>
    <w:rPr>
      <w:rFonts w:hint="eastAsia" w:ascii="宋体" w:hAnsi="宋体" w:eastAsia="宋体" w:cs="宋体"/>
      <w:color w:val="000000"/>
      <w:sz w:val="22"/>
      <w:szCs w:val="22"/>
      <w:u w:val="none"/>
    </w:rPr>
  </w:style>
  <w:style w:type="character" w:customStyle="1" w:styleId="19">
    <w:name w:val="w32"/>
    <w:basedOn w:val="9"/>
    <w:autoRedefine/>
    <w:qFormat/>
    <w:uiPriority w:val="0"/>
  </w:style>
  <w:style w:type="character" w:customStyle="1" w:styleId="20">
    <w:name w:val="button"/>
    <w:basedOn w:val="9"/>
    <w:qFormat/>
    <w:uiPriority w:val="0"/>
  </w:style>
  <w:style w:type="character" w:customStyle="1" w:styleId="21">
    <w:name w:val="drapbtn"/>
    <w:basedOn w:val="9"/>
    <w:autoRedefine/>
    <w:qFormat/>
    <w:uiPriority w:val="0"/>
  </w:style>
  <w:style w:type="character" w:customStyle="1" w:styleId="22">
    <w:name w:val="pagechatarealistclose_box"/>
    <w:basedOn w:val="9"/>
    <w:autoRedefine/>
    <w:qFormat/>
    <w:uiPriority w:val="0"/>
  </w:style>
  <w:style w:type="character" w:customStyle="1" w:styleId="23">
    <w:name w:val="pagechatarealistclose_box1"/>
    <w:basedOn w:val="9"/>
    <w:autoRedefine/>
    <w:qFormat/>
    <w:uiPriority w:val="0"/>
  </w:style>
  <w:style w:type="character" w:customStyle="1" w:styleId="24">
    <w:name w:val="ico1654"/>
    <w:basedOn w:val="9"/>
    <w:qFormat/>
    <w:uiPriority w:val="0"/>
  </w:style>
  <w:style w:type="character" w:customStyle="1" w:styleId="25">
    <w:name w:val="ico1655"/>
    <w:basedOn w:val="9"/>
    <w:qFormat/>
    <w:uiPriority w:val="0"/>
  </w:style>
  <w:style w:type="character" w:customStyle="1" w:styleId="26">
    <w:name w:val="cdropright"/>
    <w:basedOn w:val="9"/>
    <w:qFormat/>
    <w:uiPriority w:val="0"/>
  </w:style>
  <w:style w:type="character" w:customStyle="1" w:styleId="27">
    <w:name w:val="active6"/>
    <w:basedOn w:val="9"/>
    <w:qFormat/>
    <w:uiPriority w:val="0"/>
    <w:rPr>
      <w:color w:val="00FF00"/>
      <w:shd w:val="clear" w:fill="111111"/>
    </w:rPr>
  </w:style>
  <w:style w:type="character" w:customStyle="1" w:styleId="28">
    <w:name w:val="biggerthanmax"/>
    <w:basedOn w:val="9"/>
    <w:qFormat/>
    <w:uiPriority w:val="0"/>
    <w:rPr>
      <w:shd w:val="clear" w:fill="FFFF00"/>
    </w:rPr>
  </w:style>
  <w:style w:type="character" w:customStyle="1" w:styleId="29">
    <w:name w:val="token-input-delete-token"/>
    <w:basedOn w:val="9"/>
    <w:qFormat/>
    <w:uiPriority w:val="0"/>
    <w:rPr>
      <w:color w:val="FFFFFF"/>
    </w:rPr>
  </w:style>
  <w:style w:type="character" w:customStyle="1" w:styleId="30">
    <w:name w:val="design_class"/>
    <w:basedOn w:val="9"/>
    <w:autoRedefine/>
    <w:qFormat/>
    <w:uiPriority w:val="0"/>
  </w:style>
  <w:style w:type="character" w:customStyle="1" w:styleId="31">
    <w:name w:val="tmpztreemove_arrow"/>
    <w:basedOn w:val="9"/>
    <w:qFormat/>
    <w:uiPriority w:val="0"/>
  </w:style>
  <w:style w:type="character" w:customStyle="1" w:styleId="32">
    <w:name w:val="hilite"/>
    <w:basedOn w:val="9"/>
    <w:qFormat/>
    <w:uiPriority w:val="0"/>
    <w:rPr>
      <w:color w:val="FFFFFF"/>
      <w:shd w:val="clear" w:fill="666677"/>
    </w:rPr>
  </w:style>
  <w:style w:type="character" w:customStyle="1" w:styleId="33">
    <w:name w:val="edit_class"/>
    <w:basedOn w:val="9"/>
    <w:qFormat/>
    <w:uiPriority w:val="0"/>
  </w:style>
  <w:style w:type="character" w:customStyle="1" w:styleId="34">
    <w:name w:val="cdropleft"/>
    <w:basedOn w:val="9"/>
    <w:qFormat/>
    <w:uiPriority w:val="0"/>
  </w:style>
  <w:style w:type="character" w:customStyle="1" w:styleId="35">
    <w:name w:val="cy"/>
    <w:basedOn w:val="9"/>
    <w:autoRedefine/>
    <w:qFormat/>
    <w:uiPriority w:val="0"/>
  </w:style>
  <w:style w:type="character" w:customStyle="1" w:styleId="36">
    <w:name w:val="xdrichtextbox2"/>
    <w:basedOn w:val="9"/>
    <w:autoRedefine/>
    <w:qFormat/>
    <w:uiPriority w:val="0"/>
  </w:style>
  <w:style w:type="character" w:customStyle="1" w:styleId="37">
    <w:name w:val="active"/>
    <w:basedOn w:val="9"/>
    <w:autoRedefine/>
    <w:qFormat/>
    <w:uiPriority w:val="0"/>
    <w:rPr>
      <w:color w:val="00FF00"/>
      <w:shd w:val="clear" w:fill="111111"/>
    </w:rPr>
  </w:style>
  <w:style w:type="character" w:customStyle="1" w:styleId="38">
    <w:name w:val="xdrichtextbox"/>
    <w:basedOn w:val="9"/>
    <w:autoRedefine/>
    <w:qFormat/>
    <w:uiPriority w:val="0"/>
    <w:rPr>
      <w:color w:val="auto"/>
      <w:sz w:val="18"/>
      <w:szCs w:val="18"/>
      <w:u w:val="none"/>
      <w:bdr w:val="single" w:color="DCDCDC" w:sz="8" w:space="0"/>
      <w:shd w:val="clear" w:fill="auto"/>
    </w:rPr>
  </w:style>
  <w:style w:type="character" w:customStyle="1" w:styleId="39">
    <w:name w:val="hilite6"/>
    <w:basedOn w:val="9"/>
    <w:autoRedefine/>
    <w:qFormat/>
    <w:uiPriority w:val="0"/>
    <w:rPr>
      <w:color w:val="FFFFFF"/>
      <w:shd w:val="clear" w:fill="666677"/>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628</Words>
  <Characters>662</Characters>
  <Lines>4</Lines>
  <Paragraphs>1</Paragraphs>
  <TotalTime>39</TotalTime>
  <ScaleCrop>false</ScaleCrop>
  <LinksUpToDate>false</LinksUpToDate>
  <CharactersWithSpaces>664</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2022-04-08T09:47:00Z</dcterms:created>
  <dc:creator>骑着小猪去撞墙</dc:creator>
  <cp:lastModifiedBy>宋婷婷</cp:lastModifiedBy>
  <cp:lastPrinted>2024-07-09T06:51:00Z</cp:lastPrinted>
  <dcterms:modified xsi:type="dcterms:W3CDTF">2024-07-12T04:43:44Z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9620AE74779B49F5A1E776E5736A7832_13</vt:lpwstr>
  </property>
</Properties>
</file>